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40" w:before="0" w:after="0"/>
        <w:jc w:val="left"/>
        <w:rPr>
          <w:b/>
          <w:b/>
          <w:bCs/>
        </w:rPr>
      </w:pPr>
      <w:r>
        <w:rPr>
          <w:b/>
          <w:bCs/>
        </w:rPr>
        <w:t>ESP.0717.4.17.2021</w:t>
      </w:r>
    </w:p>
    <w:p>
      <w:pPr>
        <w:pStyle w:val="Normal"/>
        <w:bidi w:val="0"/>
        <w:spacing w:lineRule="auto" w:line="240" w:before="0" w:after="0"/>
        <w:jc w:val="center"/>
        <w:rPr>
          <w:sz w:val="28"/>
          <w:szCs w:val="28"/>
        </w:rPr>
      </w:pPr>
      <w:r>
        <w:rPr>
          <w:b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Specyfikacja załącznik  2</w:t>
      </w:r>
    </w:p>
    <w:p>
      <w:pPr>
        <w:pStyle w:val="Normal"/>
        <w:bidi w:val="0"/>
        <w:spacing w:lineRule="auto" w:line="240" w:before="0" w:after="0"/>
        <w:jc w:val="center"/>
        <w:rPr>
          <w:rFonts w:ascii="Calibri" w:hAnsi="Calibri"/>
          <w:b/>
          <w:b/>
          <w:i w:val="false"/>
          <w:i w:val="false"/>
          <w:strike w:val="false"/>
          <w:dstrike w:val="false"/>
          <w:outline w:val="false"/>
          <w:shadow w:val="false"/>
          <w:color w:val="000000"/>
          <w:u w:val="none"/>
          <w:em w:val="none"/>
        </w:rPr>
      </w:pPr>
      <w:r>
        <w:rPr>
          <w:b/>
          <w:i w:val="false"/>
          <w:strike w:val="false"/>
          <w:dstrike w:val="false"/>
          <w:outline w:val="false"/>
          <w:shadow w:val="false"/>
          <w:color w:val="000000"/>
          <w:u w:val="none"/>
          <w:em w:val="none"/>
        </w:rPr>
      </w:r>
    </w:p>
    <w:p>
      <w:pPr>
        <w:pStyle w:val="Normal"/>
        <w:bidi w:val="0"/>
        <w:spacing w:lineRule="auto" w:line="240" w:before="0"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Dostawa wyposażenia dla Ekologicznej Szkoły Podstawowej Nr 7 im. Juliana Tuwima w Bielawie w ramach programu "Laboratoria Przyszłości"</w:t>
      </w:r>
    </w:p>
    <w:p>
      <w:pPr>
        <w:pStyle w:val="Normal"/>
        <w:spacing w:lineRule="auto" w:line="240" w:before="0" w:after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Style w:val="Tabela-Siatka"/>
        <w:tblW w:w="13380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10"/>
        <w:gridCol w:w="11169"/>
      </w:tblGrid>
      <w:tr>
        <w:trPr/>
        <w:tc>
          <w:tcPr>
            <w:tcW w:w="2210" w:type="dxa"/>
            <w:tcBorders/>
            <w:shd w:color="auto" w:fill="0D0D0D" w:themeFill="text1" w:themeFillTint="f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Nazwa</w:t>
            </w:r>
          </w:p>
        </w:tc>
        <w:tc>
          <w:tcPr>
            <w:tcW w:w="11169" w:type="dxa"/>
            <w:tcBorders/>
            <w:shd w:color="auto" w:fill="0D0D0D" w:themeFill="text1" w:themeFillTint="f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Wymagane minimalne parametry techniczne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Zastosowanie</w:t>
            </w:r>
          </w:p>
        </w:tc>
        <w:tc>
          <w:tcPr>
            <w:tcW w:w="111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Komputer przenośny będzie wykorzystywany dla potrzeb laboratorium druku 3D,  aplikacji edukacyjnych, , dostępu do Internetu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Matryca</w:t>
            </w:r>
          </w:p>
        </w:tc>
        <w:tc>
          <w:tcPr>
            <w:tcW w:w="11169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both"/>
              <w:outlineLvl w:val="0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Komputer przenośny typu notebook z ekranem 15,6" o rozdzielczości FHD (1920 x 1080) z podświetleniem LED matryca typu IPS, jasność min. 250 cd/m2, powłoka antyodblaskowa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>Procesor</w:t>
            </w:r>
          </w:p>
        </w:tc>
        <w:tc>
          <w:tcPr>
            <w:tcW w:w="111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/>
            </w:pPr>
            <w:r>
              <w:rPr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 xml:space="preserve">Procesor osiągający wynik min. 10800 punktów w teście PassMark CPU Mark według wyników ze strony </w:t>
            </w:r>
            <w:r>
              <w:rPr>
                <w:rStyle w:val="Czeinternetowe"/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>https://www.cpubenchmark.net/cpu_list.php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/>
            </w:pPr>
            <w:r>
              <w:rPr>
                <w:rStyle w:val="Czeinternetowe"/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>Wynik testu (załączyć do oferty)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Pamięć RAM</w:t>
            </w:r>
          </w:p>
        </w:tc>
        <w:tc>
          <w:tcPr>
            <w:tcW w:w="111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16 GB DDR4 możliwość rozbudowy do min 64GB, Szybkość min 3200MHz jeden slot wolny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Pamięć masowa</w:t>
            </w:r>
          </w:p>
        </w:tc>
        <w:tc>
          <w:tcPr>
            <w:tcW w:w="111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min. 512 GB SSD NVMe PCI 3.0x4, fabryczna możliwość instalacji drugiego dysku 2,5”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color w:val="00B050"/>
                <w:sz w:val="20"/>
                <w:szCs w:val="20"/>
              </w:rPr>
            </w:pPr>
            <w:r>
              <w:rPr>
                <w:rFonts w:cs="Tahoma" w:ascii="Tahoma" w:hAnsi="Tahoma"/>
                <w:bCs/>
                <w:color w:val="00B050"/>
                <w:sz w:val="22"/>
                <w:szCs w:val="20"/>
              </w:rPr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Karta graficzna</w:t>
            </w:r>
          </w:p>
        </w:tc>
        <w:tc>
          <w:tcPr>
            <w:tcW w:w="111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Zintegrowana z procesorem</w:t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Karta graficzna – wydajność</w:t>
            </w:r>
          </w:p>
        </w:tc>
        <w:tc>
          <w:tcPr>
            <w:tcW w:w="1116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/>
            </w:pPr>
            <w:r>
              <w:rPr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 xml:space="preserve"> </w:t>
            </w:r>
            <w:r>
              <w:rPr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 xml:space="preserve">Wydajność osiągająca wynik min. 2800 punktów w teście PassMark Videocard Mark według wyników ze strony </w:t>
            </w:r>
            <w:r>
              <w:rPr>
                <w:rStyle w:val="Czeinternetowe"/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>https://www.videocardbenchmark.net/gpu_list.php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Style w:val="Czeinternetowe"/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>Wynik testu (załączyć do oferty)</w:t>
            </w:r>
          </w:p>
        </w:tc>
      </w:tr>
      <w:tr>
        <w:trPr>
          <w:trHeight w:val="416" w:hRule="atLeast"/>
        </w:trPr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Multimedia</w:t>
            </w:r>
          </w:p>
        </w:tc>
        <w:tc>
          <w:tcPr>
            <w:tcW w:w="111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Dwukanałowa karta dźwiękowa zintegrowana z płytą główną, zgodna z High Definition, wbudowane głośniki stereo o średniej mocy min. 2x 2W, cyfrowy mikrofon z funkcją redukcji szumów i poprawy mowy wbudowany w obudowę matrycy.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Kamera internetowa o rozdzielczości min. HD trwale zainstalowana w obudowie matrycy, dioda informująca użytkownika o aktywnej kamerze.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Bateria i zasilanie</w:t>
            </w:r>
          </w:p>
        </w:tc>
        <w:tc>
          <w:tcPr>
            <w:tcW w:w="111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color w:val="FF0000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 xml:space="preserve">Bateria min. 60 Wh, Zasilacz o mocy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min. 80W.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Bateria z funkcją szybkiego ładowania (35% do 20 min, 80% do 1h, 100% do 2h).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2"/>
                <w:szCs w:val="20"/>
              </w:rPr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Waga</w:t>
            </w:r>
          </w:p>
        </w:tc>
        <w:tc>
          <w:tcPr>
            <w:tcW w:w="111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color w:val="FF0000"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Waga komputera z baterią  nie większa niż 1,7 kg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Obudowa</w:t>
            </w:r>
          </w:p>
        </w:tc>
        <w:tc>
          <w:tcPr>
            <w:tcW w:w="111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Obudowa notebooka wzmocniona, szkielet i zawiasy notebooka wykonany z wzmacnianego metalu.</w:t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Klawiatura</w:t>
            </w:r>
          </w:p>
        </w:tc>
        <w:tc>
          <w:tcPr>
            <w:tcW w:w="1116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Podświetlana klawiatura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BIOS</w:t>
            </w:r>
          </w:p>
        </w:tc>
        <w:tc>
          <w:tcPr>
            <w:tcW w:w="111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BIOS zgodny ze specyfikacją UEFI, pełna obsługa za pomocą klawiatury i myszy.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BIOS musi umożliwiać przeprowadzenia inwentaryzacji sprzętowej poprzez wyświetlenie informacji o : wersji BIOS, numerze seryjnym i dacie produkcji komputera, wielkości, prędkości i sposobie obsadzenia zainstalowanej pamięci RAM,  typie zainstalowanego procesora, zainstalowanym dysku twardym ( pojemność, model ), MAC adresie wbudowanej w płytę główną karty sieciowej.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Funkcja blokowania/odblokowania portów USB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Możliwość, ustawienia hasła dla administratora oraz użytkownika dla BIOS’u, po podaniu hasła użytkownika możliwość jedynie odczytania informacji, brak możliwości wł/wy funkcji. Hasła silne opatrzone o litery, cyfry i znaki specjalne.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Możliwość przypisania w BIOS numeru nadawanego przez Administratora.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Bezpieczeństwo</w:t>
            </w:r>
          </w:p>
        </w:tc>
        <w:tc>
          <w:tcPr>
            <w:tcW w:w="111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System diagnostyczny z graficzny interfejsem dostępny z poziomu BIOS lub menu BOOT’owania umożliwiający użytkownikowi przeprowadzenie wstępnej diagnostyki awarii poprzez przetestowanie: procesora, pamięci RAM, dysku, płyty głównej i wyświetlacza. Pełna funkcjonalność systemu diagnostycznego musi być dostępna również w przypadku braku lub uszkodzenia oraz sformatowania dysku twardego, braku dostępu do sieci LAN i internetu oraz nie może być realizowana przez narzędzia zewnętrzne podłączane do komputera ( np. pamięć USB flash ].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Dedykowany układ szyfrujący TPM 2.0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Złącze na linkę zabezpieczającą przed kradzieżą.</w:t>
            </w:r>
          </w:p>
        </w:tc>
      </w:tr>
      <w:tr>
        <w:trPr>
          <w:trHeight w:val="338" w:hRule="atLeast"/>
        </w:trPr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Certyfikaty</w:t>
            </w:r>
          </w:p>
        </w:tc>
        <w:tc>
          <w:tcPr>
            <w:tcW w:w="111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Certyfikat ISO 9001 dla producenta sprzętu (załączyć do oferty)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Certyfikat ISO 14001 dla producenta sprzętu (załączyć do oferty)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Deklaracja zgodności CE (załączyć do oferty)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Potwierdzenie spełnienia kryteriów środowiskowych, w tym zgodności z dyrektywą RoHS Unii Europejskiej o eliminacji substancji niebezpiecznych w postaci oświadczenia producenta jednostki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bookmarkStart w:id="0" w:name="__DdeLink__2460_1279102988"/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Certyfikat Energy Star min. 6.0 lub TCO dla oferowanego modelu.</w:t>
            </w:r>
            <w:bookmarkEnd w:id="0"/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System operacyjny</w:t>
            </w:r>
          </w:p>
        </w:tc>
        <w:tc>
          <w:tcPr>
            <w:tcW w:w="111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Zainstalowany system operacyjny na każdym zestawie komputerowym spełniający poniższe wymagania: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Oprogramowanie musi spełniać następujące wymagania poprzez wbudowane mechanizmy, bez użycia dodatkowych aplikacji: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a) interfejsy użytkownika dostępne min. w języku polskim i angielskim;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b) możliwość instalacji wersji 32 bity lub 64 bity;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c)możliwość dokonywania bezpłatnych aktualizacji i poprawek w ramach wersji oprogramowania poprzez internet, mechanizmem udostępnianym przez producenta oprogramowania z możliwością wyboru instalowanych poprawek oraz mechanizmem sprawdzającym, które z poprawek są potrzebne;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d) możliwość dokonywania aktualizacji i poprawek systemu poprzez mechanizm zarządzany przez administratora Zamawiającego;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e) wbudowana zapora internetowa (firewall) dla ochrony połączeń internetowych;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f) zintegrowana z oprogramowaniem konsola do zarządzania ustawieniami zapory i regułami IP v4 i v6;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g) zlokalizowane w języku polskim, co najmniej następujące elementy: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menu,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odtwarzacz multimediów,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pomoc,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komunikaty systemowe,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h) graficzne środowisko instalacji i konfiguracji dostępne w języku polskim;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i) wsparcie dla większości powszechnie używanych urządzeń peryferyjnych (drukarek, urządzeń sieciowych, standardów USB, Plug&amp;Play, Wi-Fi);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j) funkcjonalność automatycznej zmiany domyślnej drukarki w zależności od sieci, do której podłączony jest komputer;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k) możliwość zarządzania stacją roboczą poprzez polityki grupowe - przez politykę rozumiany jest zestaw reguł definiujących lub ograniczających funkcjonalność oprogramowania lub aplikacji;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l) możliwość zdalnej, automatycznej instalacji, konfiguracji, administrowania oraz aktualizowania oprogramowania, zgodnie z określonymi uprawnieniami poprzez polityki grupowe;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m) zabezpieczony hasłem hierarchiczny dostęp do oprogramowania, konta i profile użytkowników zarządzane zdalnie;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n) praca systemu w trybie ochrony kont użytkowników;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o) zintegrowany z systemem moduł wyszukiwania informacji (plików różnego typu, tekstów, metadanych) dostępny z kilku poziomów: poziom menu, poziom otwartego okna oprogramowania;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p) system wyszukiwania oparty na konfigurowalnym przez użytkownika module indeksacji zasobów lokalnych;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q) zintegrowany z oprogramowaniem moduł synchronizacji komputera z urządzeniami zewnętrznymi;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r) wbudowany system pomocy w języku polskim;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s) możliwość przystosowania stanowiska dla osób niepełnosprawnych (np. słabo widzących);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t) wsparcie dla IPSEC oparte na politykach - wdrażanie IPSEC oparte na zestawach reguł definiujących ustawienia zarządzanych w sposób centralny;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u) mechanizmy logowania w oparciu o: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login i hasło,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karty z certyfikatami (smartcard),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wirtualne karty (logowanie w oparciu o certyfikat chroniony poprzez moduł TPM);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v) wsparcie dla uwierzytelniania na bazie Kerberos v.5;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w) wsparcie do uwierzytelnienia urządzenia na bazie certyfikatu;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x) wsparcie wbudowanej zapory ogniowej dla Internet Key Exchange v. 2 (IKEv2) dla warstwy transportowej IPsec;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y) wbudowane narzędzia służące do administracji, do wykonywania kopii zapasowych polityk i ich odtwarzania oraz generowania raportów z ustawień polityk;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z) wsparcie dla środowisk Java i .NET Framework 4.x - możliwość uruchomienia aplikacji działających we wskazanych środowiskach;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aa) wsparcie dla JScript;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bb) zdalna pomoc i współdzielenie aplikacji - możliwość zdalnego przejęcia sesji zalogowanego użytkownika celem rozwiązania problemu z komputerem;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cc) zarządzanie kontami użytkowników sieci oraz urządzeniami sieciowymi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tj. drukarki, modemy, woluminy dyskowe, usługi katalogowe;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dd) możliwość przywracania obrazu plików systemowych do uprzednio zapisanej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postaci.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Licencja musi być udzielona na czas nieokreślony. Klucz licencyjny oprogramowania musi być zapisany trwale w BIOS i umożliwiać instalację systemu operacyjnego na podstawie dołączonego nośnika bezpośrednio z wbudowanego napędu lub zdalnie bez potrzeby ręcznego wpisywania klucza licencyjnego. Zainstalowany system jak i również przy reinstalacji nie może wymagać aktywacji klucza licencyjnego za pośrednictwem telefonu i internetu.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System operacyjny musi posiadać wszelkie dokumenty potwierdzające jego legalność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Zamawiający  wymaga  fabrycznie  nowego  systemu  operacyjnego,  nieużywanego oraz nieaktywowanego nigdy wcześniej na innym urządzeniu.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Wymagania dodatkowe</w:t>
            </w:r>
          </w:p>
        </w:tc>
        <w:tc>
          <w:tcPr>
            <w:tcW w:w="111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Wbudowane porty i złącza: HDMI, RJ-45 (10/100/1000), min. min. 2 port USB 3.2, czytnik kart microSD, współdzielone złącze słuchawkowe stereo i złącze mikrofonowe, złącze zasilania ( zasilacz nie może zajmować portów USB 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Zintegrowana w postaci wewnętrznego modułu mini-PCI Express karta sieci WLAN 802.11AC</w:t>
            </w:r>
            <w:r>
              <w:rPr>
                <w:rFonts w:eastAsia="Calibri" w:cs="Tahoma" w:ascii="Tahoma" w:hAnsi="Tahoma"/>
                <w:color w:val="00B050"/>
                <w:kern w:val="0"/>
                <w:sz w:val="20"/>
                <w:szCs w:val="20"/>
                <w:lang w:val="pl-PL" w:eastAsia="en-US" w:bidi="ar-SA"/>
              </w:rPr>
              <w:t>,</w:t>
            </w: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 xml:space="preserve"> moduł bluetooth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Klawiatura (układ US -QWERTY) z wydzieloną klawiaturą numeryczną, t</w:t>
            </w: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ouchpad z strefą przewijania w pionie, poziomie wraz z obsługą gestów.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2"/>
                <w:szCs w:val="20"/>
              </w:rPr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Złącza</w:t>
            </w:r>
          </w:p>
        </w:tc>
        <w:tc>
          <w:tcPr>
            <w:tcW w:w="1116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 xml:space="preserve">Złącze Thunderbold , </w:t>
            </w:r>
            <w:r>
              <w:rPr>
                <w:rFonts w:eastAsia="Calibri"/>
                <w:kern w:val="0"/>
                <w:sz w:val="22"/>
                <w:lang w:val="pl-PL" w:eastAsia="en-US" w:bidi="ar-SA"/>
              </w:rPr>
              <w:t>USB-C</w:t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Czytnik linii papilarnych</w:t>
            </w:r>
          </w:p>
        </w:tc>
        <w:tc>
          <w:tcPr>
            <w:tcW w:w="1116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Komunikacja bezprzewodowa</w:t>
            </w:r>
          </w:p>
        </w:tc>
        <w:tc>
          <w:tcPr>
            <w:tcW w:w="1116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802.11a/b/g/n/ac/ax, Bluetooth 5.1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Warunki gwarancji</w:t>
            </w:r>
          </w:p>
        </w:tc>
        <w:tc>
          <w:tcPr>
            <w:tcW w:w="1116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5-letnia gwarancja producenta świadczona na miejscu u klienta. Czas reakcji serwisu - do końca następnego dnia roboczego. Dedykowany portal producenta do zgłaszania awarii lub usterek, możliwość samodzielnego zamawiania zamiennych komponentów oraz sprawdzenie okresu gwarancji, fabrycznej konfiguracji.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Firma serwisująca musi posiadać ISO 9001: 2000 na świadczenie usług serwisowych oraz posiadać autoryzacje producenta komputera – dokumenty potwierdzające załączyć do oferty.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Oświadczenie producenta, że w przypadku nie wywiązywania się z obowiązków gwarancyjnych oferenta lub firmy serwisującej, przejmie na siebie wszelkie zobowiązania związane z serwisem.</w:t>
            </w:r>
          </w:p>
        </w:tc>
      </w:tr>
    </w:tbl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  <w:r>
        <w:br w:type="page"/>
      </w:r>
    </w:p>
    <w:p>
      <w:pPr>
        <w:pStyle w:val="Normal"/>
        <w:rPr>
          <w:rFonts w:cs="Calibri" w:cstheme="minorHAnsi"/>
          <w:sz w:val="40"/>
          <w:szCs w:val="20"/>
        </w:rPr>
      </w:pPr>
      <w:r>
        <w:rPr>
          <w:rFonts w:cs="Calibri" w:cstheme="minorHAnsi"/>
          <w:sz w:val="40"/>
          <w:szCs w:val="20"/>
        </w:rPr>
        <w:t>Załącznik 3</w:t>
      </w:r>
    </w:p>
    <w:p>
      <w:pPr>
        <w:pStyle w:val="Normal"/>
        <w:rPr/>
      </w:pPr>
      <w:r>
        <w:rPr/>
      </w:r>
    </w:p>
    <w:tbl>
      <w:tblPr>
        <w:tblStyle w:val="Tabela-Siatka"/>
        <w:tblW w:w="9350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10"/>
        <w:gridCol w:w="7139"/>
      </w:tblGrid>
      <w:tr>
        <w:trPr/>
        <w:tc>
          <w:tcPr>
            <w:tcW w:w="2210" w:type="dxa"/>
            <w:tcBorders/>
            <w:shd w:color="auto" w:fill="0D0D0D" w:themeFill="text1" w:themeFillTint="f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Nazwa</w:t>
            </w:r>
          </w:p>
        </w:tc>
        <w:tc>
          <w:tcPr>
            <w:tcW w:w="7139" w:type="dxa"/>
            <w:tcBorders/>
            <w:shd w:color="auto" w:fill="0D0D0D" w:themeFill="text1" w:themeFillTint="f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Wymagane minimalne parametry techniczne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Zastosowanie</w:t>
            </w:r>
          </w:p>
        </w:tc>
        <w:tc>
          <w:tcPr>
            <w:tcW w:w="71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Komputer przenośny będzie wykorzystywany dla potrzeb obróbki grafiki,  aplikacji edukacyjnych, , dostępu do Internetu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Matryca</w:t>
            </w:r>
          </w:p>
        </w:tc>
        <w:tc>
          <w:tcPr>
            <w:tcW w:w="7139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both"/>
              <w:outlineLvl w:val="0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Komputer przenośny typu notebook z ekranem 15,6" o rozdzielczości FHD (1920 x 1080) z podświetleniem LED matryca typu WVA, jasność min. 250 cd/m2, powłoka antyodblaskowa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>Procesor</w:t>
            </w:r>
          </w:p>
        </w:tc>
        <w:tc>
          <w:tcPr>
            <w:tcW w:w="71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/>
            </w:pPr>
            <w:r>
              <w:rPr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 xml:space="preserve">Procesor osiągający wynik min. 12200 punktów w teście PassMark CPU Mark według wyników ze strony </w:t>
            </w:r>
            <w:r>
              <w:rPr>
                <w:rStyle w:val="Czeinternetowe"/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>https://www.cpubenchmark.net/cpu_list.php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/>
            </w:pPr>
            <w:r>
              <w:rPr>
                <w:rStyle w:val="Czeinternetowe"/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>Wynik testu (załączyć do oferty)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Pamięć RAM</w:t>
            </w:r>
          </w:p>
        </w:tc>
        <w:tc>
          <w:tcPr>
            <w:tcW w:w="71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32 GB DDR4 możliwość rozbudowy do min 64GB, Szybkość min 2900MHz jeden slot wolny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Pamięć masowa</w:t>
            </w:r>
          </w:p>
        </w:tc>
        <w:tc>
          <w:tcPr>
            <w:tcW w:w="71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min. 512 GB SSD NVMe PCI 3.0x4, fabryczna możliwość instalacji drugiego dysku 2,5”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color w:val="00B050"/>
                <w:sz w:val="20"/>
                <w:szCs w:val="20"/>
              </w:rPr>
            </w:pPr>
            <w:r>
              <w:rPr>
                <w:rFonts w:cs="Tahoma" w:ascii="Tahoma" w:hAnsi="Tahoma"/>
                <w:bCs/>
                <w:color w:val="00B050"/>
                <w:sz w:val="22"/>
                <w:szCs w:val="20"/>
              </w:rPr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Karta graficzna</w:t>
            </w:r>
          </w:p>
        </w:tc>
        <w:tc>
          <w:tcPr>
            <w:tcW w:w="71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Dodatkowa karta graficzna</w:t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Karta graficzna – wydajność</w:t>
            </w:r>
          </w:p>
        </w:tc>
        <w:tc>
          <w:tcPr>
            <w:tcW w:w="713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/>
            </w:pPr>
            <w:r>
              <w:rPr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 xml:space="preserve"> </w:t>
            </w:r>
            <w:r>
              <w:rPr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 xml:space="preserve">Wydajność osiągająca wynik min. 2500 punktów w teście PassMark Videocard Mark według wyników ze strony </w:t>
            </w:r>
            <w:r>
              <w:rPr>
                <w:rStyle w:val="Czeinternetowe"/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>https://www.videocardbenchmark.net/gpu_list.php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Style w:val="Czeinternetowe"/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>Wynik testu (załączyć do oferty)</w:t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Pamięć karty</w:t>
            </w:r>
          </w:p>
        </w:tc>
        <w:tc>
          <w:tcPr>
            <w:tcW w:w="713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Min 2 GB GDDR5 SDRAM</w:t>
            </w:r>
          </w:p>
        </w:tc>
      </w:tr>
      <w:tr>
        <w:trPr>
          <w:trHeight w:val="416" w:hRule="atLeast"/>
        </w:trPr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Multimedia</w:t>
            </w:r>
          </w:p>
        </w:tc>
        <w:tc>
          <w:tcPr>
            <w:tcW w:w="71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Dwukanałowa karta dźwiękowa zintegrowana z płytą główną, zgodna z High Definition, wbudowane głośniki stereo o średniej mocy min. 2x 2W, cyfrowy mikrofon z funkcją redukcji szumów i poprawy mowy wbudowany w obudowę matrycy.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Kamera internetowa o rozdzielczości min. HD trwale zainstalowana w obudowie matrycy, dioda informująca użytkownika o aktywnej kamerze.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Bateria i zasilanie</w:t>
            </w:r>
          </w:p>
        </w:tc>
        <w:tc>
          <w:tcPr>
            <w:tcW w:w="71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color w:val="FF0000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 xml:space="preserve">Bateria min. 60 Wh, Zasilacz o mocy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min. 85W.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Bateria z funkcją szybkiego ładowania (35% do 20 min, 80% do 1h, 100% do 2h).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2"/>
                <w:szCs w:val="20"/>
              </w:rPr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Waga</w:t>
            </w:r>
          </w:p>
        </w:tc>
        <w:tc>
          <w:tcPr>
            <w:tcW w:w="71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color w:val="FF0000"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Waga komputera z baterią  nie większa niż 2 kg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Obudowa</w:t>
            </w:r>
          </w:p>
        </w:tc>
        <w:tc>
          <w:tcPr>
            <w:tcW w:w="71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Obudowa notebooka wzmocniona, szkielet i zawiasy notebooka wykonany z wzmacnianego metalu.</w:t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Klawiatura</w:t>
            </w:r>
          </w:p>
        </w:tc>
        <w:tc>
          <w:tcPr>
            <w:tcW w:w="713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Podświetlana klawiatura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BIOS</w:t>
            </w:r>
          </w:p>
        </w:tc>
        <w:tc>
          <w:tcPr>
            <w:tcW w:w="71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BIOS zgodny ze specyfikacją UEFI, pełna obsługa za pomocą klawiatury i myszy.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BIOS musi umożliwiać przeprowadzenia inwentaryzacji sprzętowej poprzez wyświetlenie informacji o : wersji BIOS, numerze seryjnym i dacie produkcji komputera, wielkości, prędkości i sposobie obsadzenia zainstalowanej pamięci RAM,  typie zainstalowanego procesora, zainstalowanym dysku twardym ( pojemność, model ), MAC adresie wbudowanej w płytę główną karty sieciowej.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Funkcja blokowania/odblokowania portów USB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Możliwość, ustawienia hasła dla administratora oraz użytkownika dla BIOS’u, po podaniu hasła użytkownika możliwość jedynie odczytania informacji, brak możliwości wł/wy funkcji. Hasła silne opatrzone o litery, cyfry i znaki specjalne.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Możliwość przypisania w BIOS numeru nadawanego przez Administratora.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Bezpieczeństwo</w:t>
            </w:r>
          </w:p>
        </w:tc>
        <w:tc>
          <w:tcPr>
            <w:tcW w:w="71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System diagnostyczny z graficzny interfejsem dostępny z poziomu BIOS lub menu BOOT’owania umożliwiający użytkownikowi przeprowadzenie wstępnej diagnostyki awarii poprzez przetestowanie: procesora, pamięci RAM, dysku, płyty głównej i wyświetlacza. Pełna funkcjonalność systemu diagnostycznego musi być dostępna również w przypadku braku lub uszkodzenia oraz sformatowania dysku twardego, braku dostępu do sieci LAN i internetu oraz nie może być realizowana przez narzędzia zewnętrzne podłączane do komputera ( np. pamięć USB flash ].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Dedykowany układ szyfrujący TPM 2.0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Złącze na linkę zabezpieczającą przed kradzieżą.</w:t>
            </w:r>
          </w:p>
        </w:tc>
      </w:tr>
      <w:tr>
        <w:trPr>
          <w:trHeight w:val="338" w:hRule="atLeast"/>
        </w:trPr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Certyfikaty</w:t>
            </w:r>
          </w:p>
        </w:tc>
        <w:tc>
          <w:tcPr>
            <w:tcW w:w="71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Certyfikat ISO 9001 dla producenta sprzętu (załączyć do oferty)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Certyfikat ISO 14001 dla producenta sprzętu (załączyć do oferty)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Deklaracja zgodności CE (załączyć do oferty)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Potwierdzenie spełnienia kryteriów środowiskowych, w tym zgodności z dyrektywą RoHS Unii Europejskiej o eliminacji substancji niebezpiecznych w postaci oświadczenia producenta jednostki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Certyfikat Energy Star min. 6.0 lub TCO dla oferowanego modelu.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System operacyjny</w:t>
            </w:r>
          </w:p>
        </w:tc>
        <w:tc>
          <w:tcPr>
            <w:tcW w:w="71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Zainstalowany system operacyjny na każdym zestawie komputerowym spełniający poniższe wymagania: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Oprogramowanie musi spełniać następujące wymagania poprzez wbudowane mechanizmy, bez użycia dodatkowych aplikacji: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a) interfejsy użytkownika dostępne min. w języku polskim i angielskim;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b) możliwość instalacji wersji 32 bity lub 64 bity;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c)możliwość dokonywania bezpłatnych aktualizacji i poprawek w ramach wersji oprogramowania poprzez internet, mechanizmem udostępnianym przez producenta oprogramowania z możliwością wyboru instalowanych poprawek oraz mechanizmem sprawdzającym, które z poprawek są potrzebne;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d) możliwość dokonywania aktualizacji i poprawek systemu poprzez mechanizm zarządzany przez administratora Zamawiającego;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e) wbudowana zapora internetowa (firewall) dla ochrony połączeń internetowych;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f) zintegrowana z oprogramowaniem konsola do zarządzania ustawieniami zapory i regułami IP v4 i v6;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g) zlokalizowane w języku polskim, co najmniej następujące elementy: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menu,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odtwarzacz multimediów,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pomoc,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komunikaty systemowe,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h) graficzne środowisko instalacji i konfiguracji dostępne w języku polskim;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i) wsparcie dla większości powszechnie używanych urządzeń peryferyjnych (drukarek, urządzeń sieciowych, standardów USB, Plug&amp;Play, Wi-Fi);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j) funkcjonalność automatycznej zmiany domyślnej drukarki w zależności od sieci, do której podłączony jest komputer;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k) możliwość zarządzania stacją roboczą poprzez polityki grupowe - przez politykę rozumiany jest zestaw reguł definiujących lub ograniczających funkcjonalność oprogramowania lub aplikacji;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l) możliwość zdalnej, automatycznej instalacji, konfiguracji, administrowania oraz aktualizowania oprogramowania, zgodnie z określonymi uprawnieniami poprzez polityki grupowe;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m) zabezpieczony hasłem hierarchiczny dostęp do oprogramowania, konta i profile użytkowników zarządzane zdalnie;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n) praca systemu w trybie ochrony kont użytkowników;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o) zintegrowany z systemem moduł wyszukiwania informacji (plików różnego typu, tekstów, metadanych) dostępny z kilku poziomów: poziom menu, poziom otwartego okna oprogramowania;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p) system wyszukiwania oparty na konfigurowalnym przez użytkownika module indeksacji zasobów lokalnych;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q) zintegrowany z oprogramowaniem moduł synchronizacji komputera z urządzeniami zewnętrznymi;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r) wbudowany system pomocy w języku polskim;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s) możliwość przystosowania stanowiska dla osób niepełnosprawnych (np. słabo widzących);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t) wsparcie dla IPSEC oparte na politykach - wdrażanie IPSEC oparte na zestawach reguł definiujących ustawienia zarządzanych w sposób centralny;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u) mechanizmy logowania w oparciu o: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login i hasło,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karty z certyfikatami (smartcard),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wirtualne karty (logowanie w oparciu o certyfikat chroniony poprzez moduł TPM);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v) wsparcie dla uwierzytelniania na bazie Kerberos v.5;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w) wsparcie do uwierzytelnienia urządzenia na bazie certyfikatu;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x) wsparcie wbudowanej zapory ogniowej dla Internet Key Exchange v. 2 (IKEv2) dla warstwy transportowej IPsec;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y) wbudowane narzędzia służące do administracji, do wykonywania kopii zapasowych polityk i ich odtwarzania oraz generowania raportów z ustawień polityk;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z) wsparcie dla środowisk Java i .NET Framework 4.x - możliwość uruchomienia aplikacji działających we wskazanych środowiskach;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aa) wsparcie dla JScript;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bb) zdalna pomoc i współdzielenie aplikacji - możliwość zdalnego przejęcia sesji zalogowanego użytkownika celem rozwiązania problemu z komputerem;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cc) zarządzanie kontami użytkowników sieci oraz urządzeniami sieciowymi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tj. drukarki, modemy, woluminy dyskowe, usługi katalogowe;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dd) możliwość przywracania obrazu plików systemowych do uprzednio zapisanej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postaci.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Licencja musi być udzielona na czas nieokreślony. Klucz licencyjny oprogramowania musi być zapisany trwale w BIOS i umożliwiać instalację systemu operacyjnego na podstawie dołączonego nośnika bezpośrednio z wbudowanego napędu lub zdalnie bez potrzeby ręcznego wpisywania klucza licencyjnego. Zainstalowany system jak i również przy reinstalacji nie może wymagać aktywacji klucza licencyjnego za pośrednictwem telefonu i internetu.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System operacyjny musi posiadać wszelkie dokumenty potwierdzające jego legalność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Zamawiający  wymaga  fabrycznie  nowego  systemu  operacyjnego,  nieużywanego oraz nieaktywowanego nigdy wcześniej na innym urządzeniu.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Wymagania dodatkowe</w:t>
            </w:r>
          </w:p>
        </w:tc>
        <w:tc>
          <w:tcPr>
            <w:tcW w:w="71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Wbudowane porty i złącza: HDMI, RJ-45 (10/100/1000), min. min. 2 port USB 3.2, czytnik kart microSD, współdzielone złącze słuchawkowe stereo i złącze mikrofonowe, złącze zasilania ( zasilacz nie może zajmować portów USB 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Zintegrowana w postaci wewnętrznego modułu mini-PCI Express karta sieci WLAN 802.11AC</w:t>
            </w:r>
            <w:r>
              <w:rPr>
                <w:rFonts w:eastAsia="Calibri" w:cs="Tahoma" w:ascii="Tahoma" w:hAnsi="Tahoma"/>
                <w:color w:val="00B050"/>
                <w:kern w:val="0"/>
                <w:sz w:val="20"/>
                <w:szCs w:val="20"/>
                <w:lang w:val="pl-PL" w:eastAsia="en-US" w:bidi="ar-SA"/>
              </w:rPr>
              <w:t>,</w:t>
            </w: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 xml:space="preserve"> moduł bluetooth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Klawiatura (układ US -QWERTY) z wydzieloną klawiaturą numeryczną, t</w:t>
            </w: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ouchpad z strefą przewijania w pionie, poziomie wraz z obsługą gestów.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2"/>
                <w:szCs w:val="20"/>
              </w:rPr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Złącza</w:t>
            </w:r>
          </w:p>
        </w:tc>
        <w:tc>
          <w:tcPr>
            <w:tcW w:w="713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 xml:space="preserve">Złącze Thunderbold , </w:t>
            </w:r>
            <w:r>
              <w:rPr>
                <w:rFonts w:eastAsia="Calibri"/>
                <w:kern w:val="0"/>
                <w:sz w:val="22"/>
                <w:lang w:val="pl-PL" w:eastAsia="en-US" w:bidi="ar-SA"/>
              </w:rPr>
              <w:t>USB-C</w:t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Czytnik linii papilarnych</w:t>
            </w:r>
          </w:p>
        </w:tc>
        <w:tc>
          <w:tcPr>
            <w:tcW w:w="713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Komunikacja bezprzewodowa</w:t>
            </w:r>
          </w:p>
        </w:tc>
        <w:tc>
          <w:tcPr>
            <w:tcW w:w="713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802.11a/b/g/n/ac/ax, Bluetooth 5.1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Warunki gwarancji</w:t>
            </w:r>
          </w:p>
        </w:tc>
        <w:tc>
          <w:tcPr>
            <w:tcW w:w="71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5-letnia gwarancja producenta świadczona na miejscu u klienta. Czas reakcji serwisu - do końca następnego dnia roboczego. Dedykowany portal producenta do zgłaszania awarii lub usterek, możliwość samodzielnego zamawiania zamiennych komponentów oraz sprawdzenie okresu gwarancji, fabrycznej konfiguracji.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Firma serwisująca musi posiadać ISO 9001: 2000 na świadczenie usług serwisowych oraz posiadać autoryzacje producenta komputera – dokumenty potwierdzające załączyć do oferty.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Oświadczenie producenta, że w przypadku nie wywiązywania się z obowiązków gwarancyjnych oferenta lub firmy serwisującej, przejmie na siebie wszelkie zobowiązania związane z serwisem.</w:t>
            </w:r>
          </w:p>
        </w:tc>
      </w:tr>
    </w:tbl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/>
      </w:pPr>
      <w:r>
        <w:rPr/>
      </w:r>
    </w:p>
    <w:p>
      <w:pPr>
        <w:pStyle w:val="Normal"/>
        <w:spacing w:before="0" w:after="160"/>
        <w:rPr>
          <w:rFonts w:cs="Calibri" w:cstheme="minorHAnsi"/>
          <w:sz w:val="40"/>
        </w:rPr>
      </w:pPr>
      <w:r>
        <w:rPr/>
      </w:r>
    </w:p>
    <w:sectPr>
      <w:type w:val="nextPage"/>
      <w:pgSz w:orient="landscape" w:w="16838" w:h="11906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nhideWhenUsed/>
    <w:rsid w:val="00f85e46"/>
    <w:rPr>
      <w:color w:val="0563C1" w:themeColor="hyperlink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db1e1e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200f38"/>
    <w:pPr/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61c3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Application>LibreOffice/7.2.0.4$Windows_X86_64 LibreOffice_project/9a9c6381e3f7a62afc1329bd359cc48accb6435b</Application>
  <AppVersion>15.0000</AppVersion>
  <Pages>9</Pages>
  <Words>2356</Words>
  <Characters>16131</Characters>
  <CharactersWithSpaces>18297</CharactersWithSpaces>
  <Paragraphs>216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2021-12-08T16:52:00Z</dcterms:created>
  <dc:creator>Ireneusz Lutz</dc:creator>
  <dc:description/>
  <dc:language>pl-PL</dc:language>
  <cp:lastModifiedBy/>
  <cp:lastPrinted>2021-12-13T12:26:18Z</cp:lastPrinted>
  <dcterms:modified xsi:type="dcterms:W3CDTF">2021-12-13T12:26:28Z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